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46C" w:rsidRPr="00590248" w:rsidRDefault="00A45A21" w:rsidP="00455C61">
      <w:pPr>
        <w:bidi/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bidi="ar-LB"/>
        </w:rPr>
      </w:pPr>
      <w:r w:rsidRPr="00590248">
        <w:rPr>
          <w:rFonts w:ascii="Arial" w:hAnsi="Arial" w:cs="Arial"/>
          <w:b/>
          <w:bCs/>
          <w:sz w:val="28"/>
          <w:szCs w:val="28"/>
          <w:rtl/>
        </w:rPr>
        <w:t>بيان صحفي</w:t>
      </w:r>
    </w:p>
    <w:p w:rsidR="00A45A21" w:rsidRPr="00590248" w:rsidRDefault="00783DE8" w:rsidP="00EF4D8E">
      <w:pPr>
        <w:bidi/>
        <w:spacing w:line="360" w:lineRule="auto"/>
        <w:rPr>
          <w:rFonts w:ascii="Arial" w:hAnsi="Arial" w:cs="Arial"/>
          <w:b/>
          <w:bCs/>
          <w:sz w:val="28"/>
          <w:szCs w:val="28"/>
          <w:rtl/>
          <w:lang w:bidi="ar-LB"/>
        </w:rPr>
      </w:pPr>
      <w:r w:rsidRPr="00590248">
        <w:rPr>
          <w:rFonts w:ascii="Arial" w:hAnsi="Arial" w:cs="Arial"/>
          <w:b/>
          <w:bCs/>
          <w:sz w:val="28"/>
          <w:szCs w:val="28"/>
          <w:rtl/>
        </w:rPr>
        <w:t>جمعية تجار بيروت وبنك البحر المتوسط ي</w:t>
      </w:r>
      <w:r w:rsidR="00590248" w:rsidRPr="00590248">
        <w:rPr>
          <w:rFonts w:ascii="Arial" w:hAnsi="Arial" w:cs="Arial"/>
          <w:b/>
          <w:bCs/>
          <w:sz w:val="28"/>
          <w:szCs w:val="28"/>
          <w:rtl/>
        </w:rPr>
        <w:t>صدران</w:t>
      </w:r>
      <w:r w:rsidR="00C43482" w:rsidRPr="00590248">
        <w:rPr>
          <w:rFonts w:ascii="Arial" w:hAnsi="Arial" w:cs="Arial"/>
          <w:b/>
          <w:bCs/>
          <w:sz w:val="28"/>
          <w:szCs w:val="28"/>
        </w:rPr>
        <w:t xml:space="preserve"> </w:t>
      </w:r>
      <w:r w:rsidR="00C43482" w:rsidRPr="00590248">
        <w:rPr>
          <w:rFonts w:ascii="Arial" w:hAnsi="Arial" w:cs="Arial"/>
          <w:b/>
          <w:bCs/>
          <w:sz w:val="28"/>
          <w:szCs w:val="28"/>
          <w:rtl/>
          <w:lang w:bidi="ar-LB"/>
        </w:rPr>
        <w:t>نتائج</w:t>
      </w:r>
      <w:r w:rsidRPr="00590248">
        <w:rPr>
          <w:rFonts w:ascii="Arial" w:hAnsi="Arial" w:cs="Arial"/>
          <w:b/>
          <w:bCs/>
          <w:sz w:val="28"/>
          <w:szCs w:val="28"/>
          <w:rtl/>
        </w:rPr>
        <w:t xml:space="preserve"> "مؤشر استثمار جمعية تجار بيروت- بنك البحر المتوسط"، </w:t>
      </w:r>
      <w:r w:rsidR="00A45A21" w:rsidRPr="00590248">
        <w:rPr>
          <w:rFonts w:ascii="Arial" w:hAnsi="Arial" w:cs="Arial"/>
          <w:b/>
          <w:bCs/>
          <w:sz w:val="28"/>
          <w:szCs w:val="28"/>
          <w:rtl/>
        </w:rPr>
        <w:t xml:space="preserve">عن الفصل </w:t>
      </w:r>
      <w:r w:rsidR="00EF4D8E">
        <w:rPr>
          <w:rFonts w:ascii="Arial" w:hAnsi="Arial" w:cs="Arial" w:hint="cs"/>
          <w:b/>
          <w:bCs/>
          <w:sz w:val="28"/>
          <w:szCs w:val="28"/>
          <w:rtl/>
        </w:rPr>
        <w:t>الثاني</w:t>
      </w:r>
      <w:r w:rsidR="00C43482" w:rsidRPr="00590248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A45A21" w:rsidRPr="00590248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9350A7" w:rsidRPr="00590248">
        <w:rPr>
          <w:rFonts w:ascii="Arial" w:hAnsi="Arial" w:cs="Arial"/>
          <w:b/>
          <w:bCs/>
          <w:sz w:val="28"/>
          <w:szCs w:val="28"/>
          <w:rtl/>
        </w:rPr>
        <w:t>ل</w:t>
      </w:r>
      <w:r w:rsidR="00A45A21" w:rsidRPr="00590248">
        <w:rPr>
          <w:rFonts w:ascii="Arial" w:hAnsi="Arial" w:cs="Arial"/>
          <w:b/>
          <w:bCs/>
          <w:sz w:val="28"/>
          <w:szCs w:val="28"/>
          <w:rtl/>
        </w:rPr>
        <w:t>عام 201</w:t>
      </w:r>
      <w:r w:rsidR="00F5588A">
        <w:rPr>
          <w:rFonts w:ascii="Arial" w:hAnsi="Arial" w:cs="Arial" w:hint="cs"/>
          <w:b/>
          <w:bCs/>
          <w:sz w:val="28"/>
          <w:szCs w:val="28"/>
          <w:rtl/>
        </w:rPr>
        <w:t>4</w:t>
      </w:r>
      <w:r w:rsidR="00A45A21" w:rsidRPr="00590248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A45A21" w:rsidRDefault="00A45A21" w:rsidP="002C341D">
      <w:pPr>
        <w:bidi/>
        <w:spacing w:line="360" w:lineRule="auto"/>
        <w:jc w:val="both"/>
        <w:rPr>
          <w:rFonts w:ascii="Arial" w:hAnsi="Arial" w:cs="Arial"/>
          <w:sz w:val="28"/>
          <w:szCs w:val="28"/>
          <w:rtl/>
        </w:rPr>
      </w:pPr>
      <w:r w:rsidRPr="00590248">
        <w:rPr>
          <w:rFonts w:ascii="Arial" w:hAnsi="Arial" w:cs="Arial"/>
          <w:b/>
          <w:bCs/>
          <w:sz w:val="28"/>
          <w:szCs w:val="28"/>
          <w:rtl/>
        </w:rPr>
        <w:t>بيروت في</w:t>
      </w:r>
      <w:r w:rsidR="002C341D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GoBack"/>
      <w:bookmarkEnd w:id="0"/>
      <w:r w:rsidR="002C341D">
        <w:rPr>
          <w:rFonts w:ascii="Arial" w:hAnsi="Arial" w:cs="Arial"/>
          <w:b/>
          <w:bCs/>
          <w:sz w:val="28"/>
          <w:szCs w:val="28"/>
        </w:rPr>
        <w:t xml:space="preserve">1 </w:t>
      </w:r>
      <w:r w:rsidR="002C341D" w:rsidRPr="002C341D">
        <w:rPr>
          <w:rFonts w:ascii="Arial" w:hAnsi="Arial" w:cs="Arial" w:hint="cs"/>
          <w:b/>
          <w:bCs/>
          <w:sz w:val="28"/>
          <w:szCs w:val="28"/>
          <w:rtl/>
        </w:rPr>
        <w:t>أيلول</w:t>
      </w:r>
      <w:r w:rsidR="00783DE8" w:rsidRPr="00590248">
        <w:rPr>
          <w:rFonts w:ascii="Arial" w:hAnsi="Arial" w:cs="Arial"/>
          <w:b/>
          <w:bCs/>
          <w:sz w:val="28"/>
          <w:szCs w:val="28"/>
          <w:rtl/>
        </w:rPr>
        <w:t>،</w:t>
      </w:r>
      <w:r w:rsidRPr="00590248">
        <w:rPr>
          <w:rFonts w:ascii="Arial" w:hAnsi="Arial" w:cs="Arial"/>
          <w:b/>
          <w:bCs/>
          <w:sz w:val="28"/>
          <w:szCs w:val="28"/>
          <w:rtl/>
        </w:rPr>
        <w:t xml:space="preserve"> 201</w:t>
      </w:r>
      <w:r w:rsidR="00C43482" w:rsidRPr="00590248">
        <w:rPr>
          <w:rFonts w:ascii="Arial" w:hAnsi="Arial" w:cs="Arial"/>
          <w:b/>
          <w:bCs/>
          <w:sz w:val="28"/>
          <w:szCs w:val="28"/>
          <w:rtl/>
        </w:rPr>
        <w:t>4</w:t>
      </w:r>
      <w:r w:rsidR="00783DE8" w:rsidRPr="00590248">
        <w:rPr>
          <w:rFonts w:ascii="Arial" w:hAnsi="Arial" w:cs="Arial"/>
          <w:b/>
          <w:bCs/>
          <w:sz w:val="28"/>
          <w:szCs w:val="28"/>
          <w:rtl/>
        </w:rPr>
        <w:t xml:space="preserve">: </w:t>
      </w:r>
      <w:r w:rsidR="00590248" w:rsidRPr="00590248">
        <w:rPr>
          <w:rFonts w:ascii="Arial" w:hAnsi="Arial" w:cs="Arial"/>
          <w:sz w:val="28"/>
          <w:szCs w:val="28"/>
          <w:rtl/>
        </w:rPr>
        <w:t>أصدرت</w:t>
      </w:r>
      <w:r w:rsidR="00656749" w:rsidRPr="00590248">
        <w:rPr>
          <w:rFonts w:ascii="Arial" w:hAnsi="Arial" w:cs="Arial"/>
          <w:sz w:val="28"/>
          <w:szCs w:val="28"/>
          <w:rtl/>
        </w:rPr>
        <w:t xml:space="preserve"> جمعية تجار بيروت وبنك البحر المتوسط </w:t>
      </w:r>
      <w:r w:rsidR="00590248" w:rsidRPr="00590248">
        <w:rPr>
          <w:rFonts w:ascii="Arial" w:hAnsi="Arial" w:cs="Arial"/>
          <w:sz w:val="28"/>
          <w:szCs w:val="28"/>
          <w:rtl/>
        </w:rPr>
        <w:t>نتائج</w:t>
      </w:r>
      <w:r w:rsidR="00656749" w:rsidRPr="00590248">
        <w:rPr>
          <w:rFonts w:ascii="Arial" w:hAnsi="Arial" w:cs="Arial"/>
          <w:sz w:val="28"/>
          <w:szCs w:val="28"/>
          <w:rtl/>
        </w:rPr>
        <w:t xml:space="preserve"> </w:t>
      </w:r>
      <w:r w:rsidR="00783DE8" w:rsidRPr="00590248">
        <w:rPr>
          <w:rFonts w:ascii="Arial" w:hAnsi="Arial" w:cs="Arial"/>
          <w:sz w:val="28"/>
          <w:szCs w:val="28"/>
          <w:rtl/>
        </w:rPr>
        <w:t xml:space="preserve">"مؤشر استثمار جمعية تجار بيروت- </w:t>
      </w:r>
      <w:r w:rsidR="00656749" w:rsidRPr="00590248">
        <w:rPr>
          <w:rFonts w:ascii="Arial" w:hAnsi="Arial" w:cs="Arial"/>
          <w:sz w:val="28"/>
          <w:szCs w:val="28"/>
          <w:rtl/>
        </w:rPr>
        <w:t>بنك البحر المتوسط</w:t>
      </w:r>
      <w:r w:rsidR="00783DE8" w:rsidRPr="00590248">
        <w:rPr>
          <w:rFonts w:ascii="Arial" w:hAnsi="Arial" w:cs="Arial"/>
          <w:sz w:val="28"/>
          <w:szCs w:val="28"/>
          <w:rtl/>
        </w:rPr>
        <w:t>"</w:t>
      </w:r>
      <w:r w:rsidR="00656749" w:rsidRPr="00590248">
        <w:rPr>
          <w:rFonts w:ascii="Arial" w:hAnsi="Arial" w:cs="Arial"/>
          <w:sz w:val="28"/>
          <w:szCs w:val="28"/>
          <w:rtl/>
        </w:rPr>
        <w:t xml:space="preserve">، </w:t>
      </w:r>
      <w:r w:rsidR="00590248" w:rsidRPr="00590248">
        <w:rPr>
          <w:rFonts w:ascii="Arial" w:hAnsi="Arial" w:cs="Arial"/>
          <w:sz w:val="28"/>
          <w:szCs w:val="28"/>
          <w:rtl/>
        </w:rPr>
        <w:t xml:space="preserve">للفصل </w:t>
      </w:r>
      <w:r w:rsidR="00EF4D8E">
        <w:rPr>
          <w:rFonts w:ascii="Arial" w:hAnsi="Arial" w:cs="Arial" w:hint="cs"/>
          <w:sz w:val="28"/>
          <w:szCs w:val="28"/>
          <w:rtl/>
        </w:rPr>
        <w:t>الثاني</w:t>
      </w:r>
      <w:r w:rsidR="009926E7">
        <w:rPr>
          <w:rFonts w:ascii="Arial" w:hAnsi="Arial" w:cs="Arial" w:hint="cs"/>
          <w:sz w:val="28"/>
          <w:szCs w:val="28"/>
          <w:rtl/>
        </w:rPr>
        <w:t xml:space="preserve"> من العام 201</w:t>
      </w:r>
      <w:r w:rsidR="00F5588A">
        <w:rPr>
          <w:rFonts w:ascii="Arial" w:hAnsi="Arial" w:cs="Arial" w:hint="cs"/>
          <w:sz w:val="28"/>
          <w:szCs w:val="28"/>
          <w:rtl/>
        </w:rPr>
        <w:t>4</w:t>
      </w:r>
      <w:r w:rsidR="00590248" w:rsidRPr="00590248">
        <w:rPr>
          <w:rFonts w:ascii="Arial" w:hAnsi="Arial" w:cs="Arial"/>
          <w:sz w:val="28"/>
          <w:szCs w:val="28"/>
          <w:rtl/>
        </w:rPr>
        <w:t xml:space="preserve">. ويهدف </w:t>
      </w:r>
      <w:r w:rsidR="00590248">
        <w:rPr>
          <w:rFonts w:ascii="Arial" w:hAnsi="Arial" w:cs="Arial"/>
          <w:sz w:val="28"/>
          <w:szCs w:val="28"/>
          <w:rtl/>
        </w:rPr>
        <w:t>هذا المؤشر</w:t>
      </w:r>
      <w:r w:rsidR="00590248">
        <w:rPr>
          <w:rFonts w:ascii="Arial" w:hAnsi="Arial" w:cs="Arial" w:hint="cs"/>
          <w:sz w:val="28"/>
          <w:szCs w:val="28"/>
          <w:rtl/>
        </w:rPr>
        <w:t xml:space="preserve">، </w:t>
      </w:r>
      <w:r w:rsidR="00590248" w:rsidRPr="00590248">
        <w:rPr>
          <w:rFonts w:ascii="Arial" w:hAnsi="Arial" w:cs="Arial"/>
          <w:sz w:val="28"/>
          <w:szCs w:val="28"/>
          <w:rtl/>
        </w:rPr>
        <w:t>المدعوم تقنياً</w:t>
      </w:r>
      <w:r w:rsidR="00590248">
        <w:rPr>
          <w:rFonts w:ascii="Arial" w:hAnsi="Arial" w:cs="Arial" w:hint="cs"/>
          <w:sz w:val="28"/>
          <w:szCs w:val="28"/>
          <w:rtl/>
        </w:rPr>
        <w:t xml:space="preserve"> من قبل</w:t>
      </w:r>
      <w:r w:rsidR="00590248" w:rsidRPr="00590248">
        <w:rPr>
          <w:rFonts w:ascii="Arial" w:hAnsi="Arial" w:cs="Arial"/>
          <w:sz w:val="28"/>
          <w:szCs w:val="28"/>
          <w:rtl/>
        </w:rPr>
        <w:t xml:space="preserve"> إدارة الإحصاء المركزي في لبنان</w:t>
      </w:r>
      <w:r w:rsidR="00590248">
        <w:rPr>
          <w:rFonts w:ascii="Arial" w:hAnsi="Arial" w:cs="Arial" w:hint="cs"/>
          <w:sz w:val="28"/>
          <w:szCs w:val="28"/>
          <w:rtl/>
        </w:rPr>
        <w:t xml:space="preserve">، إلى تقييم أداء قطاع تجارة الجملة في لبنان. </w:t>
      </w:r>
    </w:p>
    <w:p w:rsidR="00590248" w:rsidRDefault="005379D2" w:rsidP="0032096D">
      <w:pPr>
        <w:bidi/>
        <w:spacing w:line="360" w:lineRule="auto"/>
        <w:jc w:val="both"/>
        <w:rPr>
          <w:rFonts w:ascii="Arial" w:hAnsi="Arial" w:cs="Arial"/>
          <w:sz w:val="28"/>
          <w:szCs w:val="28"/>
          <w:rtl/>
        </w:rPr>
      </w:pPr>
      <w:r w:rsidRPr="00590248">
        <w:rPr>
          <w:rFonts w:ascii="Arial" w:hAnsi="Arial" w:cs="Arial"/>
          <w:sz w:val="28"/>
          <w:szCs w:val="28"/>
          <w:rtl/>
          <w:lang w:bidi="ar"/>
        </w:rPr>
        <w:t xml:space="preserve">يعكس </w:t>
      </w:r>
      <w:r w:rsidR="009350A7" w:rsidRPr="00590248">
        <w:rPr>
          <w:rFonts w:ascii="Arial" w:hAnsi="Arial" w:cs="Arial"/>
          <w:sz w:val="28"/>
          <w:szCs w:val="28"/>
          <w:rtl/>
          <w:lang w:bidi="ar"/>
        </w:rPr>
        <w:t>ال</w:t>
      </w:r>
      <w:r w:rsidRPr="00590248">
        <w:rPr>
          <w:rFonts w:ascii="Arial" w:hAnsi="Arial" w:cs="Arial"/>
          <w:sz w:val="28"/>
          <w:szCs w:val="28"/>
          <w:rtl/>
          <w:lang w:bidi="ar"/>
        </w:rPr>
        <w:t xml:space="preserve">مؤشر </w:t>
      </w:r>
      <w:r w:rsidR="009350A7" w:rsidRPr="00590248">
        <w:rPr>
          <w:rFonts w:ascii="Arial" w:hAnsi="Arial" w:cs="Arial"/>
          <w:sz w:val="28"/>
          <w:szCs w:val="28"/>
          <w:rtl/>
          <w:lang w:bidi="ar"/>
        </w:rPr>
        <w:t xml:space="preserve">واقع </w:t>
      </w:r>
      <w:r w:rsidRPr="00590248">
        <w:rPr>
          <w:rFonts w:ascii="Arial" w:hAnsi="Arial" w:cs="Arial"/>
          <w:sz w:val="28"/>
          <w:szCs w:val="28"/>
          <w:rtl/>
          <w:lang w:bidi="ar"/>
        </w:rPr>
        <w:t>الاستثمار في لبنان،</w:t>
      </w:r>
      <w:r w:rsidR="009350A7" w:rsidRPr="00590248">
        <w:rPr>
          <w:rFonts w:ascii="Arial" w:hAnsi="Arial" w:cs="Arial"/>
          <w:sz w:val="28"/>
          <w:szCs w:val="28"/>
          <w:rtl/>
          <w:lang w:bidi="ar"/>
        </w:rPr>
        <w:t xml:space="preserve"> </w:t>
      </w:r>
      <w:r w:rsidR="00590248" w:rsidRPr="00590248">
        <w:rPr>
          <w:rFonts w:ascii="Arial" w:hAnsi="Arial" w:cs="Arial"/>
          <w:sz w:val="28"/>
          <w:szCs w:val="28"/>
          <w:rtl/>
          <w:lang w:bidi="ar"/>
        </w:rPr>
        <w:t xml:space="preserve">مسلطاً الضوء على </w:t>
      </w:r>
      <w:r w:rsidR="00590248" w:rsidRPr="00590248">
        <w:rPr>
          <w:rFonts w:ascii="Arial" w:hAnsi="Arial" w:cs="Arial"/>
          <w:sz w:val="28"/>
          <w:szCs w:val="28"/>
          <w:rtl/>
        </w:rPr>
        <w:t>الحركة التجارية</w:t>
      </w:r>
      <w:r w:rsidR="00590248">
        <w:rPr>
          <w:rFonts w:ascii="Arial" w:hAnsi="Arial" w:cs="Arial" w:hint="cs"/>
          <w:sz w:val="28"/>
          <w:szCs w:val="28"/>
          <w:rtl/>
        </w:rPr>
        <w:t xml:space="preserve"> والوضع الاقتصادي بشكل عام. وتشير نتائج الفصل </w:t>
      </w:r>
      <w:r w:rsidR="0032096D">
        <w:rPr>
          <w:rFonts w:ascii="Arial" w:hAnsi="Arial" w:cs="Arial" w:hint="cs"/>
          <w:sz w:val="28"/>
          <w:szCs w:val="28"/>
          <w:rtl/>
        </w:rPr>
        <w:t>الثاني</w:t>
      </w:r>
      <w:r w:rsidR="00362C69">
        <w:rPr>
          <w:rFonts w:ascii="Arial" w:hAnsi="Arial" w:cs="Arial" w:hint="cs"/>
          <w:sz w:val="28"/>
          <w:szCs w:val="28"/>
          <w:rtl/>
        </w:rPr>
        <w:t xml:space="preserve"> إلى أ</w:t>
      </w:r>
      <w:r w:rsidR="004C1E9B">
        <w:rPr>
          <w:rFonts w:ascii="Arial" w:hAnsi="Arial" w:cs="Arial" w:hint="cs"/>
          <w:sz w:val="28"/>
          <w:szCs w:val="28"/>
          <w:rtl/>
        </w:rPr>
        <w:t xml:space="preserve">ن "مكون مبيعات الجملة" من المؤشر قد سجلّ </w:t>
      </w:r>
      <w:r w:rsidR="0032096D">
        <w:rPr>
          <w:rFonts w:ascii="Arial" w:hAnsi="Arial" w:cs="Arial" w:hint="cs"/>
          <w:sz w:val="28"/>
          <w:szCs w:val="28"/>
          <w:rtl/>
        </w:rPr>
        <w:t>ارتفاعاً فصلياً</w:t>
      </w:r>
      <w:r w:rsidR="004C1E9B">
        <w:rPr>
          <w:rFonts w:ascii="Arial" w:hAnsi="Arial" w:cs="Arial" w:hint="cs"/>
          <w:sz w:val="28"/>
          <w:szCs w:val="28"/>
          <w:rtl/>
        </w:rPr>
        <w:t xml:space="preserve"> حقيقياً. </w:t>
      </w:r>
      <w:r w:rsidR="0032096D">
        <w:rPr>
          <w:rFonts w:ascii="Arial" w:hAnsi="Arial" w:cs="Arial" w:hint="cs"/>
          <w:sz w:val="28"/>
          <w:szCs w:val="28"/>
          <w:rtl/>
        </w:rPr>
        <w:t>و</w:t>
      </w:r>
      <w:r w:rsidR="004C1E9B">
        <w:rPr>
          <w:rFonts w:ascii="Arial" w:hAnsi="Arial" w:cs="Arial" w:hint="cs"/>
          <w:sz w:val="28"/>
          <w:szCs w:val="28"/>
          <w:rtl/>
        </w:rPr>
        <w:t>لا يزال "مك</w:t>
      </w:r>
      <w:r w:rsidR="004E4826">
        <w:rPr>
          <w:rFonts w:ascii="Arial" w:hAnsi="Arial" w:cs="Arial" w:hint="cs"/>
          <w:sz w:val="28"/>
          <w:szCs w:val="28"/>
          <w:rtl/>
        </w:rPr>
        <w:t>ّ</w:t>
      </w:r>
      <w:r w:rsidR="004C1E9B">
        <w:rPr>
          <w:rFonts w:ascii="Arial" w:hAnsi="Arial" w:cs="Arial" w:hint="cs"/>
          <w:sz w:val="28"/>
          <w:szCs w:val="28"/>
          <w:rtl/>
        </w:rPr>
        <w:t>ون ني</w:t>
      </w:r>
      <w:r w:rsidR="004E4826">
        <w:rPr>
          <w:rFonts w:ascii="Arial" w:hAnsi="Arial" w:cs="Arial" w:hint="cs"/>
          <w:sz w:val="28"/>
          <w:szCs w:val="28"/>
          <w:rtl/>
        </w:rPr>
        <w:t>ّ</w:t>
      </w:r>
      <w:r w:rsidR="004C1E9B">
        <w:rPr>
          <w:rFonts w:ascii="Arial" w:hAnsi="Arial" w:cs="Arial" w:hint="cs"/>
          <w:sz w:val="28"/>
          <w:szCs w:val="28"/>
          <w:rtl/>
        </w:rPr>
        <w:t>ة الاستثمار" يعكس رغبة في زيادة الاستثمار</w:t>
      </w:r>
      <w:r w:rsidR="003D35E8">
        <w:rPr>
          <w:rFonts w:ascii="Arial" w:hAnsi="Arial" w:cs="Arial" w:hint="cs"/>
          <w:sz w:val="28"/>
          <w:szCs w:val="28"/>
          <w:rtl/>
        </w:rPr>
        <w:t xml:space="preserve"> في بعض القطاعات</w:t>
      </w:r>
      <w:r w:rsidR="004C1E9B">
        <w:rPr>
          <w:rFonts w:ascii="Arial" w:hAnsi="Arial" w:cs="Arial" w:hint="cs"/>
          <w:sz w:val="28"/>
          <w:szCs w:val="28"/>
          <w:rtl/>
        </w:rPr>
        <w:t xml:space="preserve"> في الفترة المقبلة. </w:t>
      </w:r>
    </w:p>
    <w:p w:rsidR="00441384" w:rsidRPr="00F5588A" w:rsidRDefault="004E4826" w:rsidP="00362C69">
      <w:pPr>
        <w:bidi/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  <w:rtl/>
        </w:rPr>
      </w:pPr>
      <w:r w:rsidRPr="00F5588A">
        <w:rPr>
          <w:rFonts w:ascii="Arial" w:hAnsi="Arial" w:cs="Arial" w:hint="cs"/>
          <w:sz w:val="28"/>
          <w:szCs w:val="28"/>
          <w:rtl/>
        </w:rPr>
        <w:t xml:space="preserve">سجل "مكون مبيعات الجملة"، الذي يتناول النشاط التجاري خلال الفصل </w:t>
      </w:r>
      <w:r w:rsidR="0032096D">
        <w:rPr>
          <w:rFonts w:ascii="Arial" w:hAnsi="Arial" w:cs="Arial" w:hint="cs"/>
          <w:sz w:val="28"/>
          <w:szCs w:val="28"/>
          <w:rtl/>
        </w:rPr>
        <w:t>الثاني</w:t>
      </w:r>
      <w:r w:rsidRPr="00F5588A">
        <w:rPr>
          <w:rFonts w:ascii="Arial" w:hAnsi="Arial" w:cs="Arial" w:hint="cs"/>
          <w:sz w:val="28"/>
          <w:szCs w:val="28"/>
          <w:rtl/>
        </w:rPr>
        <w:t xml:space="preserve">، </w:t>
      </w:r>
      <w:r w:rsidR="0032096D">
        <w:rPr>
          <w:rFonts w:ascii="Arial" w:hAnsi="Arial" w:cs="Arial" w:hint="cs"/>
          <w:sz w:val="28"/>
          <w:szCs w:val="28"/>
          <w:rtl/>
        </w:rPr>
        <w:t>تحسناً</w:t>
      </w:r>
      <w:r w:rsidRPr="00F5588A">
        <w:rPr>
          <w:rFonts w:ascii="Arial" w:hAnsi="Arial" w:cs="Arial" w:hint="cs"/>
          <w:sz w:val="28"/>
          <w:szCs w:val="28"/>
          <w:rtl/>
        </w:rPr>
        <w:t xml:space="preserve"> حقيقياً بنسبة </w:t>
      </w:r>
      <w:r w:rsidR="0032096D">
        <w:rPr>
          <w:rFonts w:ascii="Arial" w:hAnsi="Arial" w:cs="Arial" w:hint="cs"/>
          <w:sz w:val="28"/>
          <w:szCs w:val="28"/>
          <w:rtl/>
        </w:rPr>
        <w:t>7.4</w:t>
      </w:r>
      <w:r w:rsidR="00441384" w:rsidRPr="00F5588A">
        <w:rPr>
          <w:rFonts w:ascii="Arial" w:hAnsi="Arial" w:cs="Arial" w:hint="cs"/>
          <w:sz w:val="28"/>
          <w:szCs w:val="28"/>
          <w:rtl/>
        </w:rPr>
        <w:t xml:space="preserve">% </w:t>
      </w:r>
      <w:r w:rsidR="00441384" w:rsidRPr="00F5588A">
        <w:rPr>
          <w:rFonts w:ascii="Arial" w:hAnsi="Arial" w:cs="Arial"/>
          <w:sz w:val="28"/>
          <w:szCs w:val="28"/>
          <w:rtl/>
        </w:rPr>
        <w:t xml:space="preserve">مقارنة مع الفصل </w:t>
      </w:r>
      <w:r w:rsidR="0032096D">
        <w:rPr>
          <w:rFonts w:ascii="Arial" w:hAnsi="Arial" w:cs="Arial" w:hint="cs"/>
          <w:sz w:val="28"/>
          <w:szCs w:val="28"/>
          <w:rtl/>
        </w:rPr>
        <w:t>الأول</w:t>
      </w:r>
      <w:r w:rsidR="00441384" w:rsidRPr="00F5588A">
        <w:rPr>
          <w:rFonts w:ascii="Arial" w:hAnsi="Arial" w:cs="Arial"/>
          <w:sz w:val="28"/>
          <w:szCs w:val="28"/>
          <w:rtl/>
        </w:rPr>
        <w:t xml:space="preserve"> من عام  </w:t>
      </w:r>
      <w:r w:rsidR="0032096D">
        <w:rPr>
          <w:rFonts w:ascii="Arial" w:hAnsi="Arial" w:cs="Arial" w:hint="cs"/>
          <w:sz w:val="28"/>
          <w:szCs w:val="28"/>
          <w:rtl/>
        </w:rPr>
        <w:t>2014</w:t>
      </w:r>
      <w:r w:rsidR="00441384" w:rsidRPr="00F5588A">
        <w:rPr>
          <w:rFonts w:ascii="Arial" w:hAnsi="Arial" w:cs="Arial" w:hint="cs"/>
          <w:sz w:val="28"/>
          <w:szCs w:val="28"/>
          <w:rtl/>
        </w:rPr>
        <w:t xml:space="preserve">. ويعود هذا </w:t>
      </w:r>
      <w:r w:rsidR="0032096D">
        <w:rPr>
          <w:rFonts w:ascii="Arial" w:hAnsi="Arial" w:cs="Arial" w:hint="cs"/>
          <w:sz w:val="28"/>
          <w:szCs w:val="28"/>
          <w:rtl/>
        </w:rPr>
        <w:t>التحسن</w:t>
      </w:r>
      <w:r w:rsidR="00441384" w:rsidRPr="00F5588A">
        <w:rPr>
          <w:rFonts w:ascii="Arial" w:hAnsi="Arial" w:cs="Arial" w:hint="cs"/>
          <w:sz w:val="28"/>
          <w:szCs w:val="28"/>
          <w:rtl/>
        </w:rPr>
        <w:t xml:space="preserve"> </w:t>
      </w:r>
      <w:r w:rsidR="0032096D" w:rsidRPr="0032096D">
        <w:rPr>
          <w:rFonts w:ascii="Arial" w:hAnsi="Arial" w:cs="Arial" w:hint="cs"/>
          <w:sz w:val="28"/>
          <w:szCs w:val="28"/>
          <w:rtl/>
        </w:rPr>
        <w:t>إلى زيادة استهلاك المقيمين والمغتربين</w:t>
      </w:r>
      <w:r w:rsidR="00284C62">
        <w:rPr>
          <w:rFonts w:ascii="Arial" w:hAnsi="Arial" w:cs="Arial" w:hint="cs"/>
          <w:sz w:val="28"/>
          <w:szCs w:val="28"/>
          <w:rtl/>
        </w:rPr>
        <w:t xml:space="preserve"> واللاجئين </w:t>
      </w:r>
      <w:r w:rsidR="0032096D" w:rsidRPr="0032096D">
        <w:rPr>
          <w:rFonts w:ascii="Arial" w:hAnsi="Arial" w:cs="Arial"/>
          <w:sz w:val="28"/>
          <w:szCs w:val="28"/>
        </w:rPr>
        <w:t xml:space="preserve"> </w:t>
      </w:r>
      <w:r w:rsidR="0032096D" w:rsidRPr="0032096D">
        <w:rPr>
          <w:rFonts w:ascii="Arial" w:hAnsi="Arial" w:cs="Arial" w:hint="cs"/>
          <w:sz w:val="28"/>
          <w:szCs w:val="28"/>
          <w:rtl/>
        </w:rPr>
        <w:t>و</w:t>
      </w:r>
      <w:r w:rsidR="00284C62">
        <w:rPr>
          <w:rFonts w:ascii="Arial" w:hAnsi="Arial" w:cs="Arial" w:hint="cs"/>
          <w:sz w:val="28"/>
          <w:szCs w:val="28"/>
          <w:rtl/>
        </w:rPr>
        <w:t xml:space="preserve">كذلك الأمر </w:t>
      </w:r>
      <w:r w:rsidR="0032096D" w:rsidRPr="0032096D">
        <w:rPr>
          <w:rFonts w:ascii="Arial" w:hAnsi="Arial" w:cs="Arial" w:hint="cs"/>
          <w:sz w:val="28"/>
          <w:szCs w:val="28"/>
          <w:rtl/>
        </w:rPr>
        <w:t xml:space="preserve">السياح العرب وعودتهم </w:t>
      </w:r>
      <w:r w:rsidR="00362C69">
        <w:rPr>
          <w:rFonts w:ascii="Arial" w:hAnsi="Arial" w:cs="Arial" w:hint="cs"/>
          <w:sz w:val="28"/>
          <w:szCs w:val="28"/>
          <w:rtl/>
        </w:rPr>
        <w:t>إ</w:t>
      </w:r>
      <w:r w:rsidR="0032096D" w:rsidRPr="0032096D">
        <w:rPr>
          <w:rFonts w:ascii="Arial" w:hAnsi="Arial" w:cs="Arial" w:hint="cs"/>
          <w:sz w:val="28"/>
          <w:szCs w:val="28"/>
          <w:rtl/>
        </w:rPr>
        <w:t>لى لبنان بعد رفع حظر السفر.</w:t>
      </w:r>
      <w:r w:rsidR="00441384" w:rsidRPr="00F5588A">
        <w:rPr>
          <w:rFonts w:ascii="Arial" w:hAnsi="Arial" w:cs="Arial"/>
          <w:sz w:val="28"/>
          <w:szCs w:val="28"/>
          <w:rtl/>
        </w:rPr>
        <w:t xml:space="preserve"> هذا الأمر أدى إلى</w:t>
      </w:r>
      <w:r w:rsidR="00441384" w:rsidRPr="00F5588A">
        <w:rPr>
          <w:rFonts w:ascii="Arial" w:hAnsi="Arial" w:cs="Arial"/>
          <w:sz w:val="28"/>
          <w:szCs w:val="28"/>
        </w:rPr>
        <w:t xml:space="preserve"> </w:t>
      </w:r>
      <w:r w:rsidR="0032096D">
        <w:rPr>
          <w:rFonts w:ascii="Arial" w:hAnsi="Arial" w:cs="Arial" w:hint="cs"/>
          <w:sz w:val="28"/>
          <w:szCs w:val="28"/>
          <w:rtl/>
        </w:rPr>
        <w:t>تحسن</w:t>
      </w:r>
      <w:r w:rsidR="00441384" w:rsidRPr="00F5588A">
        <w:rPr>
          <w:rFonts w:ascii="Arial" w:hAnsi="Arial" w:cs="Arial"/>
          <w:sz w:val="28"/>
          <w:szCs w:val="28"/>
          <w:rtl/>
        </w:rPr>
        <w:t xml:space="preserve"> حركة المبيعات لدى تجار التجزئة ومن ثم إلى </w:t>
      </w:r>
      <w:r w:rsidR="0032096D">
        <w:rPr>
          <w:rFonts w:ascii="Arial" w:hAnsi="Arial" w:cs="Arial" w:hint="cs"/>
          <w:sz w:val="28"/>
          <w:szCs w:val="28"/>
          <w:rtl/>
        </w:rPr>
        <w:t>ارتفاع</w:t>
      </w:r>
      <w:r w:rsidR="00441384" w:rsidRPr="00F5588A">
        <w:rPr>
          <w:rFonts w:ascii="Arial" w:hAnsi="Arial" w:cs="Arial"/>
          <w:sz w:val="28"/>
          <w:szCs w:val="28"/>
          <w:rtl/>
        </w:rPr>
        <w:t xml:space="preserve"> مستوى طلباتهم لدى تجار الجملة.</w:t>
      </w:r>
    </w:p>
    <w:p w:rsidR="0032096D" w:rsidRDefault="00441384" w:rsidP="00362C69">
      <w:pPr>
        <w:bidi/>
        <w:spacing w:line="360" w:lineRule="auto"/>
        <w:jc w:val="both"/>
        <w:rPr>
          <w:rFonts w:ascii="Arial" w:hAnsi="Arial" w:cs="Arial"/>
          <w:sz w:val="28"/>
          <w:szCs w:val="28"/>
          <w:rtl/>
        </w:rPr>
      </w:pPr>
      <w:r w:rsidRPr="00441384">
        <w:rPr>
          <w:rFonts w:ascii="Arial" w:hAnsi="Arial" w:cs="Arial"/>
          <w:sz w:val="28"/>
          <w:szCs w:val="28"/>
          <w:rtl/>
        </w:rPr>
        <w:t xml:space="preserve">وبحسب النتائج الصادرة، </w:t>
      </w:r>
      <w:r w:rsidR="0032096D">
        <w:rPr>
          <w:rFonts w:ascii="Arial" w:hAnsi="Arial" w:cs="Arial" w:hint="cs"/>
          <w:sz w:val="28"/>
          <w:szCs w:val="28"/>
          <w:rtl/>
        </w:rPr>
        <w:t>سجلت بعض القطاعات نمواً ملحوظاً وبالأخص تلك المتعلقة بالمواد الغذائية.</w:t>
      </w:r>
      <w:r w:rsidR="00362C69">
        <w:rPr>
          <w:rFonts w:ascii="Arial" w:hAnsi="Arial" w:cs="Arial" w:hint="cs"/>
          <w:sz w:val="28"/>
          <w:szCs w:val="28"/>
          <w:rtl/>
        </w:rPr>
        <w:t xml:space="preserve"> و</w:t>
      </w:r>
      <w:r w:rsidR="0032096D" w:rsidRPr="00362C69">
        <w:rPr>
          <w:rFonts w:ascii="Arial" w:hAnsi="Arial" w:cs="Arial" w:hint="cs"/>
          <w:sz w:val="28"/>
          <w:szCs w:val="28"/>
          <w:rtl/>
        </w:rPr>
        <w:t xml:space="preserve">في المقابل، شهد قطاع مستوردي ووكلاء وموزّعي الأدوية وقطاع </w:t>
      </w:r>
      <w:r w:rsidR="0032096D" w:rsidRPr="00362C69">
        <w:rPr>
          <w:rFonts w:ascii="Arial" w:hAnsi="Arial" w:cs="Arial"/>
          <w:sz w:val="28"/>
          <w:szCs w:val="28"/>
          <w:rtl/>
        </w:rPr>
        <w:t>معدات الهاتف والاتصالات</w:t>
      </w:r>
      <w:r w:rsidR="0032096D" w:rsidRPr="00362C69">
        <w:rPr>
          <w:rFonts w:ascii="Arial" w:hAnsi="Arial" w:cs="Arial" w:hint="cs"/>
          <w:sz w:val="28"/>
          <w:szCs w:val="28"/>
          <w:rtl/>
        </w:rPr>
        <w:t xml:space="preserve"> تراجعاً كبيراً في المبيعات. ويعود هذا التراجع</w:t>
      </w:r>
      <w:r w:rsidR="00362C69">
        <w:rPr>
          <w:rFonts w:ascii="Arial" w:hAnsi="Arial" w:cs="Arial" w:hint="cs"/>
          <w:sz w:val="28"/>
          <w:szCs w:val="28"/>
          <w:rtl/>
        </w:rPr>
        <w:t xml:space="preserve"> إلى</w:t>
      </w:r>
      <w:r w:rsidR="0032096D" w:rsidRPr="00362C69">
        <w:rPr>
          <w:rFonts w:ascii="Arial" w:hAnsi="Arial" w:cs="Arial" w:hint="cs"/>
          <w:sz w:val="28"/>
          <w:szCs w:val="28"/>
          <w:rtl/>
        </w:rPr>
        <w:t xml:space="preserve"> عوامل بنيوية وليس ظرفية</w:t>
      </w:r>
      <w:r w:rsidR="00362C69">
        <w:rPr>
          <w:rFonts w:ascii="Arial" w:hAnsi="Arial" w:cs="Arial" w:hint="cs"/>
          <w:sz w:val="28"/>
          <w:szCs w:val="28"/>
          <w:rtl/>
        </w:rPr>
        <w:t xml:space="preserve">، </w:t>
      </w:r>
      <w:r w:rsidR="00362C69" w:rsidRPr="00362C69">
        <w:rPr>
          <w:rFonts w:ascii="Arial" w:hAnsi="Arial" w:cs="Arial" w:hint="cs"/>
          <w:sz w:val="28"/>
          <w:szCs w:val="28"/>
          <w:rtl/>
        </w:rPr>
        <w:t>إن من جهة إعادة هيكلة أسعار الدواء من قبل وزارة الصحـّـة، أو من جهة عدم طرح أي إصدار جديد للهواتف الخلوية في الأسواق خلال هذه الفترة.</w:t>
      </w:r>
    </w:p>
    <w:p w:rsidR="00362C69" w:rsidRDefault="00362C69" w:rsidP="00362C69">
      <w:pPr>
        <w:bidi/>
        <w:spacing w:line="360" w:lineRule="auto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ومع تحسن</w:t>
      </w:r>
      <w:r w:rsidR="007E389A" w:rsidRPr="007E389A">
        <w:rPr>
          <w:rFonts w:ascii="Arial" w:hAnsi="Arial" w:cs="Arial"/>
          <w:sz w:val="28"/>
          <w:szCs w:val="28"/>
          <w:rtl/>
        </w:rPr>
        <w:t xml:space="preserve"> الحركة التجارية، لا زال "مكّون نيّة الاستثمار" يشير إلى غياب النية</w:t>
      </w:r>
      <w:r w:rsidR="007E389A">
        <w:rPr>
          <w:rFonts w:ascii="Arial" w:hAnsi="Arial" w:cs="Arial" w:hint="cs"/>
          <w:sz w:val="28"/>
          <w:szCs w:val="28"/>
          <w:rtl/>
        </w:rPr>
        <w:t xml:space="preserve"> الواضحة</w:t>
      </w:r>
      <w:r w:rsidR="007E389A" w:rsidRPr="007E389A">
        <w:rPr>
          <w:rFonts w:ascii="Arial" w:hAnsi="Arial" w:cs="Arial"/>
          <w:sz w:val="28"/>
          <w:szCs w:val="28"/>
          <w:rtl/>
        </w:rPr>
        <w:t xml:space="preserve"> بخفض الاستثمار في المستقبل القريب. </w:t>
      </w:r>
      <w:r w:rsidR="00206EAF">
        <w:rPr>
          <w:rFonts w:ascii="Arial" w:hAnsi="Arial" w:cs="Arial" w:hint="cs"/>
          <w:sz w:val="28"/>
          <w:szCs w:val="28"/>
          <w:rtl/>
        </w:rPr>
        <w:t>ف</w:t>
      </w:r>
      <w:r w:rsidR="007E389A" w:rsidRPr="007E389A">
        <w:rPr>
          <w:rFonts w:ascii="Arial" w:hAnsi="Arial" w:cs="Arial"/>
          <w:sz w:val="28"/>
          <w:szCs w:val="28"/>
          <w:rtl/>
        </w:rPr>
        <w:t xml:space="preserve">قد أظهرت النتائج </w:t>
      </w:r>
      <w:r w:rsidR="003D35E8">
        <w:rPr>
          <w:rFonts w:ascii="Arial" w:hAnsi="Arial" w:cs="Arial" w:hint="cs"/>
          <w:sz w:val="28"/>
          <w:szCs w:val="28"/>
          <w:rtl/>
        </w:rPr>
        <w:t>المرصودة</w:t>
      </w:r>
      <w:r w:rsidR="007E389A" w:rsidRPr="007E389A">
        <w:rPr>
          <w:rFonts w:ascii="Arial" w:hAnsi="Arial" w:cs="Arial"/>
          <w:sz w:val="28"/>
          <w:szCs w:val="28"/>
          <w:rtl/>
        </w:rPr>
        <w:t xml:space="preserve"> أن </w:t>
      </w:r>
      <w:r>
        <w:rPr>
          <w:rFonts w:ascii="Arial" w:hAnsi="Arial" w:cs="Arial" w:hint="cs"/>
          <w:sz w:val="28"/>
          <w:szCs w:val="28"/>
          <w:rtl/>
        </w:rPr>
        <w:t>ثلاث قطاعات فقط</w:t>
      </w:r>
      <w:r w:rsidR="007E389A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قد أبرزت</w:t>
      </w:r>
      <w:r w:rsidR="003D35E8">
        <w:rPr>
          <w:rFonts w:ascii="Arial" w:hAnsi="Arial" w:cs="Arial" w:hint="cs"/>
          <w:sz w:val="28"/>
          <w:szCs w:val="28"/>
          <w:rtl/>
        </w:rPr>
        <w:t xml:space="preserve"> النية بخفض</w:t>
      </w:r>
      <w:r>
        <w:rPr>
          <w:rFonts w:ascii="Arial" w:hAnsi="Arial" w:cs="Arial" w:hint="cs"/>
          <w:sz w:val="28"/>
          <w:szCs w:val="28"/>
          <w:rtl/>
        </w:rPr>
        <w:t xml:space="preserve"> الاستثمار وهي</w:t>
      </w:r>
      <w:r w:rsidR="00F5588A">
        <w:rPr>
          <w:rFonts w:ascii="Arial" w:hAnsi="Arial" w:cs="Arial"/>
          <w:sz w:val="28"/>
          <w:szCs w:val="28"/>
          <w:rtl/>
        </w:rPr>
        <w:t>: قطاع</w:t>
      </w:r>
      <w:r w:rsidR="00F5588A">
        <w:rPr>
          <w:rFonts w:ascii="Arial" w:hAnsi="Arial" w:cs="Arial" w:hint="cs"/>
          <w:sz w:val="28"/>
          <w:szCs w:val="28"/>
          <w:rtl/>
        </w:rPr>
        <w:t xml:space="preserve"> </w:t>
      </w:r>
      <w:r w:rsidRPr="00362C69">
        <w:rPr>
          <w:rFonts w:ascii="Arial" w:hAnsi="Arial" w:cs="Arial" w:hint="cs"/>
          <w:sz w:val="28"/>
          <w:szCs w:val="28"/>
          <w:rtl/>
        </w:rPr>
        <w:t>الماشية</w:t>
      </w:r>
      <w:r w:rsidRPr="00362C69">
        <w:rPr>
          <w:rFonts w:ascii="Arial" w:hAnsi="Arial" w:cs="Arial"/>
          <w:sz w:val="28"/>
          <w:szCs w:val="28"/>
          <w:rtl/>
        </w:rPr>
        <w:t xml:space="preserve"> </w:t>
      </w:r>
      <w:r w:rsidRPr="00362C69">
        <w:rPr>
          <w:rFonts w:ascii="Arial" w:hAnsi="Arial" w:cs="Arial" w:hint="cs"/>
          <w:sz w:val="28"/>
          <w:szCs w:val="28"/>
          <w:rtl/>
        </w:rPr>
        <w:t>الحية، قطاع معدات</w:t>
      </w:r>
      <w:r w:rsidRPr="00362C69">
        <w:rPr>
          <w:rFonts w:ascii="Arial" w:hAnsi="Arial" w:cs="Arial"/>
          <w:sz w:val="28"/>
          <w:szCs w:val="28"/>
          <w:rtl/>
        </w:rPr>
        <w:t xml:space="preserve"> </w:t>
      </w:r>
      <w:r w:rsidRPr="00362C69">
        <w:rPr>
          <w:rFonts w:ascii="Arial" w:hAnsi="Arial" w:cs="Arial" w:hint="cs"/>
          <w:sz w:val="28"/>
          <w:szCs w:val="28"/>
          <w:rtl/>
        </w:rPr>
        <w:t>الهاتف</w:t>
      </w:r>
      <w:r w:rsidRPr="00362C69">
        <w:rPr>
          <w:rFonts w:ascii="Arial" w:hAnsi="Arial" w:cs="Arial"/>
          <w:sz w:val="28"/>
          <w:szCs w:val="28"/>
          <w:rtl/>
        </w:rPr>
        <w:t xml:space="preserve"> </w:t>
      </w:r>
      <w:r w:rsidRPr="00362C69">
        <w:rPr>
          <w:rFonts w:ascii="Arial" w:hAnsi="Arial" w:cs="Arial" w:hint="cs"/>
          <w:sz w:val="28"/>
          <w:szCs w:val="28"/>
          <w:rtl/>
        </w:rPr>
        <w:t>والاتصالات، و قطاع الأجهزة</w:t>
      </w:r>
      <w:r w:rsidRPr="00362C69">
        <w:rPr>
          <w:rFonts w:ascii="Arial" w:hAnsi="Arial" w:cs="Arial"/>
          <w:sz w:val="28"/>
          <w:szCs w:val="28"/>
          <w:rtl/>
        </w:rPr>
        <w:t xml:space="preserve"> </w:t>
      </w:r>
      <w:r w:rsidRPr="00362C69">
        <w:rPr>
          <w:rFonts w:ascii="Arial" w:hAnsi="Arial" w:cs="Arial" w:hint="cs"/>
          <w:sz w:val="28"/>
          <w:szCs w:val="28"/>
          <w:rtl/>
        </w:rPr>
        <w:t>الطبية</w:t>
      </w:r>
      <w:r w:rsidRPr="00362C69">
        <w:rPr>
          <w:rFonts w:ascii="Arial" w:hAnsi="Arial" w:cs="Arial"/>
          <w:sz w:val="28"/>
          <w:szCs w:val="28"/>
          <w:rtl/>
        </w:rPr>
        <w:t xml:space="preserve"> </w:t>
      </w:r>
      <w:r w:rsidRPr="00362C69">
        <w:rPr>
          <w:rFonts w:ascii="Arial" w:hAnsi="Arial" w:cs="Arial" w:hint="cs"/>
          <w:sz w:val="28"/>
          <w:szCs w:val="28"/>
          <w:rtl/>
        </w:rPr>
        <w:t>وقطع</w:t>
      </w:r>
      <w:r w:rsidRPr="00362C69">
        <w:rPr>
          <w:rFonts w:ascii="Arial" w:hAnsi="Arial" w:cs="Arial"/>
          <w:sz w:val="28"/>
          <w:szCs w:val="28"/>
          <w:rtl/>
        </w:rPr>
        <w:t xml:space="preserve"> </w:t>
      </w:r>
      <w:r w:rsidRPr="00362C69">
        <w:rPr>
          <w:rFonts w:ascii="Arial" w:hAnsi="Arial" w:cs="Arial" w:hint="cs"/>
          <w:sz w:val="28"/>
          <w:szCs w:val="28"/>
          <w:rtl/>
        </w:rPr>
        <w:t>الغيار</w:t>
      </w:r>
      <w:r w:rsidRPr="00362C69">
        <w:rPr>
          <w:rFonts w:ascii="Arial" w:hAnsi="Arial" w:cs="Arial"/>
          <w:sz w:val="28"/>
          <w:szCs w:val="28"/>
          <w:rtl/>
        </w:rPr>
        <w:t xml:space="preserve"> </w:t>
      </w:r>
      <w:r w:rsidRPr="00362C69">
        <w:rPr>
          <w:rFonts w:ascii="Arial" w:hAnsi="Arial" w:cs="Arial" w:hint="cs"/>
          <w:sz w:val="28"/>
          <w:szCs w:val="28"/>
          <w:rtl/>
        </w:rPr>
        <w:t>العائدة</w:t>
      </w:r>
      <w:r w:rsidRPr="00362C69">
        <w:rPr>
          <w:rFonts w:ascii="Arial" w:hAnsi="Arial" w:cs="Arial"/>
          <w:sz w:val="28"/>
          <w:szCs w:val="28"/>
          <w:rtl/>
        </w:rPr>
        <w:t xml:space="preserve"> </w:t>
      </w:r>
      <w:r w:rsidRPr="00362C69">
        <w:rPr>
          <w:rFonts w:ascii="Arial" w:hAnsi="Arial" w:cs="Arial" w:hint="cs"/>
          <w:sz w:val="28"/>
          <w:szCs w:val="28"/>
          <w:rtl/>
        </w:rPr>
        <w:t>لها.</w:t>
      </w:r>
    </w:p>
    <w:p w:rsidR="00A45A21" w:rsidRPr="00362C69" w:rsidRDefault="00362C69" w:rsidP="00362C69">
      <w:pPr>
        <w:bidi/>
        <w:spacing w:line="360" w:lineRule="auto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eastAsia="Times New Roman" w:hAnsi="Arial" w:cs="Arial" w:hint="cs"/>
          <w:sz w:val="28"/>
          <w:szCs w:val="28"/>
          <w:rtl/>
        </w:rPr>
        <w:t xml:space="preserve"> </w:t>
      </w:r>
      <w:r w:rsidR="006D3D72">
        <w:rPr>
          <w:rFonts w:ascii="Arial" w:eastAsia="Times New Roman" w:hAnsi="Arial" w:cs="Arial" w:hint="cs"/>
          <w:sz w:val="28"/>
          <w:szCs w:val="28"/>
          <w:rtl/>
        </w:rPr>
        <w:t>ل</w:t>
      </w:r>
      <w:r w:rsidR="00206EAF">
        <w:rPr>
          <w:rFonts w:ascii="Arial" w:eastAsia="Times New Roman" w:hAnsi="Arial" w:cs="Arial" w:hint="cs"/>
          <w:sz w:val="28"/>
          <w:szCs w:val="28"/>
          <w:rtl/>
        </w:rPr>
        <w:t>قد أصبح</w:t>
      </w:r>
      <w:r w:rsidR="005379D2" w:rsidRPr="00590248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="00E15FAC" w:rsidRPr="00590248">
        <w:rPr>
          <w:rFonts w:ascii="Arial" w:eastAsia="Times New Roman" w:hAnsi="Arial" w:cs="Arial"/>
          <w:sz w:val="28"/>
          <w:szCs w:val="28"/>
          <w:rtl/>
        </w:rPr>
        <w:t xml:space="preserve">"مؤشر استثمار جمعية تجار بيروت- </w:t>
      </w:r>
      <w:r w:rsidR="005379D2" w:rsidRPr="00590248">
        <w:rPr>
          <w:rFonts w:ascii="Arial" w:eastAsia="Times New Roman" w:hAnsi="Arial" w:cs="Arial"/>
          <w:sz w:val="28"/>
          <w:szCs w:val="28"/>
          <w:rtl/>
        </w:rPr>
        <w:t>بنك البحر المتوسط</w:t>
      </w:r>
      <w:r w:rsidR="00E15FAC" w:rsidRPr="00590248">
        <w:rPr>
          <w:rFonts w:ascii="Arial" w:eastAsia="Times New Roman" w:hAnsi="Arial" w:cs="Arial"/>
          <w:sz w:val="28"/>
          <w:szCs w:val="28"/>
          <w:rtl/>
        </w:rPr>
        <w:t>"</w:t>
      </w:r>
      <w:r w:rsidR="004E4826">
        <w:rPr>
          <w:rFonts w:ascii="Arial" w:eastAsia="Times New Roman" w:hAnsi="Arial" w:cs="Arial" w:hint="cs"/>
          <w:sz w:val="28"/>
          <w:szCs w:val="28"/>
          <w:rtl/>
        </w:rPr>
        <w:t xml:space="preserve"> </w:t>
      </w:r>
      <w:r w:rsidR="00206EAF">
        <w:rPr>
          <w:rFonts w:ascii="Arial" w:eastAsia="Times New Roman" w:hAnsi="Arial" w:cs="Arial" w:hint="cs"/>
          <w:sz w:val="28"/>
          <w:szCs w:val="28"/>
          <w:rtl/>
        </w:rPr>
        <w:t>دليلاً مهماً لرصد الحركة داخل القطاع التجاري إذ يساهم</w:t>
      </w:r>
      <w:r w:rsidR="00E15FAC" w:rsidRPr="00590248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="00206EAF">
        <w:rPr>
          <w:rFonts w:ascii="Arial" w:eastAsia="Times New Roman" w:hAnsi="Arial" w:cs="Arial" w:hint="cs"/>
          <w:sz w:val="28"/>
          <w:szCs w:val="28"/>
          <w:rtl/>
        </w:rPr>
        <w:t xml:space="preserve">هذا المؤشر </w:t>
      </w:r>
      <w:r w:rsidR="00E15FAC" w:rsidRPr="00590248">
        <w:rPr>
          <w:rFonts w:ascii="Arial" w:eastAsia="Times New Roman" w:hAnsi="Arial" w:cs="Arial"/>
          <w:sz w:val="28"/>
          <w:szCs w:val="28"/>
          <w:rtl/>
        </w:rPr>
        <w:t>بإرشاد</w:t>
      </w:r>
      <w:r w:rsidR="005379D2" w:rsidRPr="00590248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="00206EAF">
        <w:rPr>
          <w:rFonts w:ascii="Arial" w:eastAsia="Times New Roman" w:hAnsi="Arial" w:cs="Arial"/>
          <w:sz w:val="28"/>
          <w:szCs w:val="28"/>
          <w:rtl/>
          <w:lang w:bidi="ar"/>
        </w:rPr>
        <w:t>القيمين على القطاع</w:t>
      </w:r>
      <w:r w:rsidR="009350A7" w:rsidRPr="00590248">
        <w:rPr>
          <w:rFonts w:ascii="Arial" w:eastAsia="Times New Roman" w:hAnsi="Arial" w:cs="Arial"/>
          <w:sz w:val="28"/>
          <w:szCs w:val="28"/>
          <w:rtl/>
          <w:lang w:bidi="ar"/>
        </w:rPr>
        <w:t xml:space="preserve"> </w:t>
      </w:r>
      <w:r w:rsidR="00E15FAC" w:rsidRPr="00590248">
        <w:rPr>
          <w:rFonts w:ascii="Arial" w:eastAsia="Times New Roman" w:hAnsi="Arial" w:cs="Arial"/>
          <w:sz w:val="28"/>
          <w:szCs w:val="28"/>
          <w:rtl/>
          <w:lang w:bidi="ar"/>
        </w:rPr>
        <w:t>ب</w:t>
      </w:r>
      <w:r w:rsidR="009350A7" w:rsidRPr="00590248">
        <w:rPr>
          <w:rFonts w:ascii="Arial" w:eastAsia="Times New Roman" w:hAnsi="Arial" w:cs="Arial"/>
          <w:sz w:val="28"/>
          <w:szCs w:val="28"/>
          <w:rtl/>
          <w:lang w:bidi="ar"/>
        </w:rPr>
        <w:t xml:space="preserve">اتخاذ قرارات مدروسة في استثماراتهم المستقبلية. </w:t>
      </w:r>
    </w:p>
    <w:sectPr w:rsidR="00A45A21" w:rsidRPr="00362C69" w:rsidSect="00362C69">
      <w:headerReference w:type="default" r:id="rId9"/>
      <w:footerReference w:type="default" r:id="rId10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288" w:rsidRDefault="00415288" w:rsidP="000F389D">
      <w:pPr>
        <w:spacing w:after="0" w:line="240" w:lineRule="auto"/>
      </w:pPr>
      <w:r>
        <w:separator/>
      </w:r>
    </w:p>
  </w:endnote>
  <w:endnote w:type="continuationSeparator" w:id="0">
    <w:p w:rsidR="00415288" w:rsidRDefault="00415288" w:rsidP="000F3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12021611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7603" w:rsidRPr="00273143" w:rsidRDefault="00757603" w:rsidP="00273143">
        <w:pPr>
          <w:pStyle w:val="Footer"/>
          <w:rPr>
            <w:rFonts w:ascii="Times New Roman" w:hAnsi="Times New Roman" w:cs="Times New Roman"/>
            <w:sz w:val="20"/>
            <w:szCs w:val="20"/>
          </w:rPr>
        </w:pPr>
        <w:r w:rsidRPr="0027314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7314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7314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341D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7314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273143" w:rsidRDefault="002731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288" w:rsidRDefault="00415288" w:rsidP="000F389D">
      <w:pPr>
        <w:spacing w:after="0" w:line="240" w:lineRule="auto"/>
      </w:pPr>
      <w:r>
        <w:separator/>
      </w:r>
    </w:p>
  </w:footnote>
  <w:footnote w:type="continuationSeparator" w:id="0">
    <w:p w:rsidR="00415288" w:rsidRDefault="00415288" w:rsidP="000F3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40E" w:rsidRDefault="001C540E" w:rsidP="00E9173E">
    <w:pPr>
      <w:pStyle w:val="Header"/>
      <w:jc w:val="center"/>
      <w:rPr>
        <w:sz w:val="36"/>
        <w:szCs w:val="36"/>
        <w:lang w:bidi="ar-LB"/>
      </w:rPr>
    </w:pPr>
  </w:p>
  <w:p w:rsidR="00A52678" w:rsidRDefault="00A52678" w:rsidP="00E9173E">
    <w:pPr>
      <w:pStyle w:val="Header"/>
      <w:jc w:val="center"/>
      <w:rPr>
        <w:sz w:val="36"/>
        <w:szCs w:val="36"/>
        <w:lang w:bidi="ar-LB"/>
      </w:rPr>
    </w:pPr>
  </w:p>
  <w:p w:rsidR="001C540E" w:rsidRPr="00B279D3" w:rsidRDefault="001C540E" w:rsidP="00E9173E">
    <w:pPr>
      <w:pStyle w:val="Header"/>
      <w:jc w:val="center"/>
      <w:rPr>
        <w:sz w:val="36"/>
        <w:szCs w:val="36"/>
        <w:rtl/>
        <w:lang w:bidi="ar-L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311F"/>
    <w:multiLevelType w:val="hybridMultilevel"/>
    <w:tmpl w:val="54781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D36CE0"/>
    <w:multiLevelType w:val="hybridMultilevel"/>
    <w:tmpl w:val="6A860D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362568"/>
    <w:multiLevelType w:val="hybridMultilevel"/>
    <w:tmpl w:val="88FA4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82FF4"/>
    <w:multiLevelType w:val="hybridMultilevel"/>
    <w:tmpl w:val="9C84E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666D3C"/>
    <w:multiLevelType w:val="hybridMultilevel"/>
    <w:tmpl w:val="E8DA82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E46003"/>
    <w:multiLevelType w:val="hybridMultilevel"/>
    <w:tmpl w:val="49A247A4"/>
    <w:lvl w:ilvl="0" w:tplc="F8EACAEE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  <w:lang w:bidi="ar-LB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943A22"/>
    <w:multiLevelType w:val="hybridMultilevel"/>
    <w:tmpl w:val="AF2E062A"/>
    <w:lvl w:ilvl="0" w:tplc="01BE181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D53EB1"/>
    <w:multiLevelType w:val="hybridMultilevel"/>
    <w:tmpl w:val="96C0A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170667"/>
    <w:multiLevelType w:val="hybridMultilevel"/>
    <w:tmpl w:val="71403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B11CC3"/>
    <w:multiLevelType w:val="hybridMultilevel"/>
    <w:tmpl w:val="37123D82"/>
    <w:lvl w:ilvl="0" w:tplc="F8EACAEE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lang w:bidi="ar-LB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CD"/>
    <w:rsid w:val="0000539D"/>
    <w:rsid w:val="000063D9"/>
    <w:rsid w:val="00011EC1"/>
    <w:rsid w:val="00021426"/>
    <w:rsid w:val="0003492E"/>
    <w:rsid w:val="0003689C"/>
    <w:rsid w:val="00047E11"/>
    <w:rsid w:val="00050554"/>
    <w:rsid w:val="00050E3F"/>
    <w:rsid w:val="00053346"/>
    <w:rsid w:val="000575AD"/>
    <w:rsid w:val="0007492F"/>
    <w:rsid w:val="000751EB"/>
    <w:rsid w:val="00080935"/>
    <w:rsid w:val="000A1A49"/>
    <w:rsid w:val="000B5CBC"/>
    <w:rsid w:val="000D1C86"/>
    <w:rsid w:val="000F389D"/>
    <w:rsid w:val="000F4397"/>
    <w:rsid w:val="00102AF3"/>
    <w:rsid w:val="0010499A"/>
    <w:rsid w:val="00120D0A"/>
    <w:rsid w:val="00137322"/>
    <w:rsid w:val="00152880"/>
    <w:rsid w:val="00156ECB"/>
    <w:rsid w:val="001867F7"/>
    <w:rsid w:val="0019507A"/>
    <w:rsid w:val="0019523B"/>
    <w:rsid w:val="00195CE4"/>
    <w:rsid w:val="00197BB4"/>
    <w:rsid w:val="001A079A"/>
    <w:rsid w:val="001A6F36"/>
    <w:rsid w:val="001B043C"/>
    <w:rsid w:val="001C540E"/>
    <w:rsid w:val="001D4EB6"/>
    <w:rsid w:val="001E02A7"/>
    <w:rsid w:val="001E0E69"/>
    <w:rsid w:val="001E2541"/>
    <w:rsid w:val="001E307D"/>
    <w:rsid w:val="001E7785"/>
    <w:rsid w:val="001E79CC"/>
    <w:rsid w:val="001E7BF0"/>
    <w:rsid w:val="001F08C4"/>
    <w:rsid w:val="0020254B"/>
    <w:rsid w:val="00203DE4"/>
    <w:rsid w:val="00206EAF"/>
    <w:rsid w:val="00212AF2"/>
    <w:rsid w:val="00215DEA"/>
    <w:rsid w:val="00217D79"/>
    <w:rsid w:val="0022567C"/>
    <w:rsid w:val="00225F41"/>
    <w:rsid w:val="00232015"/>
    <w:rsid w:val="00233022"/>
    <w:rsid w:val="002452D0"/>
    <w:rsid w:val="0025261E"/>
    <w:rsid w:val="0025463A"/>
    <w:rsid w:val="00273143"/>
    <w:rsid w:val="002765FA"/>
    <w:rsid w:val="00284ADC"/>
    <w:rsid w:val="00284C62"/>
    <w:rsid w:val="00290D7E"/>
    <w:rsid w:val="00292D48"/>
    <w:rsid w:val="002C341D"/>
    <w:rsid w:val="002D7A60"/>
    <w:rsid w:val="003019DA"/>
    <w:rsid w:val="0030432D"/>
    <w:rsid w:val="003047F3"/>
    <w:rsid w:val="003064AA"/>
    <w:rsid w:val="0032096D"/>
    <w:rsid w:val="00321CDB"/>
    <w:rsid w:val="003222AE"/>
    <w:rsid w:val="00322EAC"/>
    <w:rsid w:val="00324E09"/>
    <w:rsid w:val="003335EE"/>
    <w:rsid w:val="00356286"/>
    <w:rsid w:val="00362ACF"/>
    <w:rsid w:val="00362C69"/>
    <w:rsid w:val="003735D5"/>
    <w:rsid w:val="00374637"/>
    <w:rsid w:val="00377BAE"/>
    <w:rsid w:val="00382DE4"/>
    <w:rsid w:val="00384ACD"/>
    <w:rsid w:val="0038668E"/>
    <w:rsid w:val="003C02E3"/>
    <w:rsid w:val="003C78B2"/>
    <w:rsid w:val="003D35E8"/>
    <w:rsid w:val="003D7828"/>
    <w:rsid w:val="003E61CB"/>
    <w:rsid w:val="003E626C"/>
    <w:rsid w:val="00402B45"/>
    <w:rsid w:val="00415288"/>
    <w:rsid w:val="0043478D"/>
    <w:rsid w:val="00436396"/>
    <w:rsid w:val="00437194"/>
    <w:rsid w:val="004400B3"/>
    <w:rsid w:val="00441384"/>
    <w:rsid w:val="004415CA"/>
    <w:rsid w:val="0044623E"/>
    <w:rsid w:val="00451682"/>
    <w:rsid w:val="00452BE9"/>
    <w:rsid w:val="00455C61"/>
    <w:rsid w:val="004611D7"/>
    <w:rsid w:val="004641B2"/>
    <w:rsid w:val="0048321F"/>
    <w:rsid w:val="004866FE"/>
    <w:rsid w:val="004A7801"/>
    <w:rsid w:val="004C1E9B"/>
    <w:rsid w:val="004D419C"/>
    <w:rsid w:val="004D6750"/>
    <w:rsid w:val="004E4826"/>
    <w:rsid w:val="004E6316"/>
    <w:rsid w:val="004F3457"/>
    <w:rsid w:val="004F3B60"/>
    <w:rsid w:val="00502577"/>
    <w:rsid w:val="0050699F"/>
    <w:rsid w:val="00530974"/>
    <w:rsid w:val="005314EE"/>
    <w:rsid w:val="005379D2"/>
    <w:rsid w:val="00543FB9"/>
    <w:rsid w:val="005530B4"/>
    <w:rsid w:val="005574BD"/>
    <w:rsid w:val="0056130D"/>
    <w:rsid w:val="005671B0"/>
    <w:rsid w:val="005830E7"/>
    <w:rsid w:val="00590248"/>
    <w:rsid w:val="005966FC"/>
    <w:rsid w:val="005A52EA"/>
    <w:rsid w:val="005C016F"/>
    <w:rsid w:val="005C3E46"/>
    <w:rsid w:val="005D2871"/>
    <w:rsid w:val="005E5E20"/>
    <w:rsid w:val="005E6FDF"/>
    <w:rsid w:val="00607763"/>
    <w:rsid w:val="0061046B"/>
    <w:rsid w:val="00611098"/>
    <w:rsid w:val="00620489"/>
    <w:rsid w:val="00626068"/>
    <w:rsid w:val="00630CEB"/>
    <w:rsid w:val="006350B3"/>
    <w:rsid w:val="00635DB6"/>
    <w:rsid w:val="00645F01"/>
    <w:rsid w:val="00655755"/>
    <w:rsid w:val="00656749"/>
    <w:rsid w:val="00662B97"/>
    <w:rsid w:val="0068085A"/>
    <w:rsid w:val="00680B88"/>
    <w:rsid w:val="006A101C"/>
    <w:rsid w:val="006B5544"/>
    <w:rsid w:val="006C10F0"/>
    <w:rsid w:val="006C242F"/>
    <w:rsid w:val="006C4C66"/>
    <w:rsid w:val="006D3D72"/>
    <w:rsid w:val="006D51F9"/>
    <w:rsid w:val="006E270A"/>
    <w:rsid w:val="006E3DA7"/>
    <w:rsid w:val="006E708D"/>
    <w:rsid w:val="006F1496"/>
    <w:rsid w:val="00707922"/>
    <w:rsid w:val="00720CD0"/>
    <w:rsid w:val="00720E7D"/>
    <w:rsid w:val="007232CE"/>
    <w:rsid w:val="00725075"/>
    <w:rsid w:val="007343AF"/>
    <w:rsid w:val="007343DF"/>
    <w:rsid w:val="00736251"/>
    <w:rsid w:val="0074378A"/>
    <w:rsid w:val="00746368"/>
    <w:rsid w:val="00746EBE"/>
    <w:rsid w:val="00750CDE"/>
    <w:rsid w:val="00754487"/>
    <w:rsid w:val="007551D2"/>
    <w:rsid w:val="00757603"/>
    <w:rsid w:val="007630CA"/>
    <w:rsid w:val="00781555"/>
    <w:rsid w:val="00783DE8"/>
    <w:rsid w:val="0079509E"/>
    <w:rsid w:val="007A6FEB"/>
    <w:rsid w:val="007B016B"/>
    <w:rsid w:val="007B366C"/>
    <w:rsid w:val="007C00EE"/>
    <w:rsid w:val="007C63FA"/>
    <w:rsid w:val="007D1AC1"/>
    <w:rsid w:val="007D622B"/>
    <w:rsid w:val="007D716C"/>
    <w:rsid w:val="007E389A"/>
    <w:rsid w:val="007E415C"/>
    <w:rsid w:val="00820159"/>
    <w:rsid w:val="00831045"/>
    <w:rsid w:val="00853E4B"/>
    <w:rsid w:val="00853EF6"/>
    <w:rsid w:val="008560B7"/>
    <w:rsid w:val="0087056C"/>
    <w:rsid w:val="00872298"/>
    <w:rsid w:val="00874CAF"/>
    <w:rsid w:val="008807A3"/>
    <w:rsid w:val="00881D10"/>
    <w:rsid w:val="00883725"/>
    <w:rsid w:val="0088724C"/>
    <w:rsid w:val="00895044"/>
    <w:rsid w:val="008C164E"/>
    <w:rsid w:val="008C6B91"/>
    <w:rsid w:val="008C7B04"/>
    <w:rsid w:val="008D1938"/>
    <w:rsid w:val="008E1648"/>
    <w:rsid w:val="008E3DFB"/>
    <w:rsid w:val="008F30B2"/>
    <w:rsid w:val="009200D2"/>
    <w:rsid w:val="00922F04"/>
    <w:rsid w:val="00924587"/>
    <w:rsid w:val="009322BB"/>
    <w:rsid w:val="009350A7"/>
    <w:rsid w:val="00942A32"/>
    <w:rsid w:val="0094487B"/>
    <w:rsid w:val="0094574A"/>
    <w:rsid w:val="009548FF"/>
    <w:rsid w:val="00965723"/>
    <w:rsid w:val="00967E35"/>
    <w:rsid w:val="00987674"/>
    <w:rsid w:val="00991408"/>
    <w:rsid w:val="009926E7"/>
    <w:rsid w:val="009A7704"/>
    <w:rsid w:val="009C514E"/>
    <w:rsid w:val="009D1616"/>
    <w:rsid w:val="009D6935"/>
    <w:rsid w:val="009E1DB1"/>
    <w:rsid w:val="009E2223"/>
    <w:rsid w:val="009E35A8"/>
    <w:rsid w:val="009E52D0"/>
    <w:rsid w:val="00A14329"/>
    <w:rsid w:val="00A22448"/>
    <w:rsid w:val="00A33E51"/>
    <w:rsid w:val="00A45A21"/>
    <w:rsid w:val="00A460E4"/>
    <w:rsid w:val="00A51FDC"/>
    <w:rsid w:val="00A52678"/>
    <w:rsid w:val="00A52D6C"/>
    <w:rsid w:val="00A62190"/>
    <w:rsid w:val="00A94DFD"/>
    <w:rsid w:val="00AC246D"/>
    <w:rsid w:val="00AC33F1"/>
    <w:rsid w:val="00AC4668"/>
    <w:rsid w:val="00AD19DE"/>
    <w:rsid w:val="00AD364E"/>
    <w:rsid w:val="00AE342E"/>
    <w:rsid w:val="00AE5F52"/>
    <w:rsid w:val="00AE6BC9"/>
    <w:rsid w:val="00AF2ADE"/>
    <w:rsid w:val="00AF3C2A"/>
    <w:rsid w:val="00AF3C40"/>
    <w:rsid w:val="00AF4492"/>
    <w:rsid w:val="00B0168A"/>
    <w:rsid w:val="00B148F7"/>
    <w:rsid w:val="00B16466"/>
    <w:rsid w:val="00B21DA3"/>
    <w:rsid w:val="00B26379"/>
    <w:rsid w:val="00B279D3"/>
    <w:rsid w:val="00B3714A"/>
    <w:rsid w:val="00B42454"/>
    <w:rsid w:val="00B4616A"/>
    <w:rsid w:val="00B77C81"/>
    <w:rsid w:val="00B85F18"/>
    <w:rsid w:val="00B87892"/>
    <w:rsid w:val="00B96F2A"/>
    <w:rsid w:val="00BB2933"/>
    <w:rsid w:val="00BC3746"/>
    <w:rsid w:val="00BF1667"/>
    <w:rsid w:val="00BF462B"/>
    <w:rsid w:val="00BF7112"/>
    <w:rsid w:val="00C01978"/>
    <w:rsid w:val="00C12CB5"/>
    <w:rsid w:val="00C21EAD"/>
    <w:rsid w:val="00C24920"/>
    <w:rsid w:val="00C31F79"/>
    <w:rsid w:val="00C32698"/>
    <w:rsid w:val="00C3299F"/>
    <w:rsid w:val="00C43482"/>
    <w:rsid w:val="00C54E39"/>
    <w:rsid w:val="00C65FD8"/>
    <w:rsid w:val="00C75ED3"/>
    <w:rsid w:val="00C831B1"/>
    <w:rsid w:val="00C868A4"/>
    <w:rsid w:val="00CA02AB"/>
    <w:rsid w:val="00CA3CAA"/>
    <w:rsid w:val="00CA42BD"/>
    <w:rsid w:val="00CA61CD"/>
    <w:rsid w:val="00CB3D98"/>
    <w:rsid w:val="00CE3A51"/>
    <w:rsid w:val="00CE6791"/>
    <w:rsid w:val="00CF1649"/>
    <w:rsid w:val="00CF31D9"/>
    <w:rsid w:val="00D0146C"/>
    <w:rsid w:val="00D173E6"/>
    <w:rsid w:val="00D24455"/>
    <w:rsid w:val="00D27409"/>
    <w:rsid w:val="00D275B4"/>
    <w:rsid w:val="00D342EF"/>
    <w:rsid w:val="00D40C0C"/>
    <w:rsid w:val="00D55D5D"/>
    <w:rsid w:val="00D6778B"/>
    <w:rsid w:val="00D82B4D"/>
    <w:rsid w:val="00D86298"/>
    <w:rsid w:val="00D91739"/>
    <w:rsid w:val="00D92E0E"/>
    <w:rsid w:val="00DB408E"/>
    <w:rsid w:val="00DC6DB1"/>
    <w:rsid w:val="00DD0311"/>
    <w:rsid w:val="00DD6361"/>
    <w:rsid w:val="00DF4F6F"/>
    <w:rsid w:val="00E0408D"/>
    <w:rsid w:val="00E06A1A"/>
    <w:rsid w:val="00E1523F"/>
    <w:rsid w:val="00E15433"/>
    <w:rsid w:val="00E15FAC"/>
    <w:rsid w:val="00E16AA3"/>
    <w:rsid w:val="00E27B9C"/>
    <w:rsid w:val="00E45D14"/>
    <w:rsid w:val="00E5275E"/>
    <w:rsid w:val="00E53165"/>
    <w:rsid w:val="00E61CFA"/>
    <w:rsid w:val="00E62A14"/>
    <w:rsid w:val="00E62F6A"/>
    <w:rsid w:val="00E74967"/>
    <w:rsid w:val="00E9173E"/>
    <w:rsid w:val="00EA0703"/>
    <w:rsid w:val="00EA52EF"/>
    <w:rsid w:val="00EA6D4B"/>
    <w:rsid w:val="00EB0E44"/>
    <w:rsid w:val="00EB6A7D"/>
    <w:rsid w:val="00EC368A"/>
    <w:rsid w:val="00EC378F"/>
    <w:rsid w:val="00EC6D17"/>
    <w:rsid w:val="00ED376C"/>
    <w:rsid w:val="00EF4D8E"/>
    <w:rsid w:val="00EF556D"/>
    <w:rsid w:val="00F04BD2"/>
    <w:rsid w:val="00F2526D"/>
    <w:rsid w:val="00F30459"/>
    <w:rsid w:val="00F41A7E"/>
    <w:rsid w:val="00F47522"/>
    <w:rsid w:val="00F47C95"/>
    <w:rsid w:val="00F526B4"/>
    <w:rsid w:val="00F543F2"/>
    <w:rsid w:val="00F5588A"/>
    <w:rsid w:val="00F6460B"/>
    <w:rsid w:val="00F73D3C"/>
    <w:rsid w:val="00F81639"/>
    <w:rsid w:val="00F96A28"/>
    <w:rsid w:val="00F96D22"/>
    <w:rsid w:val="00F96EE0"/>
    <w:rsid w:val="00FA1C20"/>
    <w:rsid w:val="00FB41FA"/>
    <w:rsid w:val="00FB7706"/>
    <w:rsid w:val="00FD0089"/>
    <w:rsid w:val="00FE6074"/>
    <w:rsid w:val="00FF58C6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3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89D"/>
  </w:style>
  <w:style w:type="paragraph" w:styleId="Footer">
    <w:name w:val="footer"/>
    <w:basedOn w:val="Normal"/>
    <w:link w:val="FooterChar"/>
    <w:uiPriority w:val="99"/>
    <w:unhideWhenUsed/>
    <w:rsid w:val="000F3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89D"/>
  </w:style>
  <w:style w:type="paragraph" w:styleId="ListParagraph">
    <w:name w:val="List Paragraph"/>
    <w:basedOn w:val="Normal"/>
    <w:uiPriority w:val="34"/>
    <w:qFormat/>
    <w:rsid w:val="00A52678"/>
    <w:pPr>
      <w:ind w:left="720"/>
      <w:contextualSpacing/>
    </w:pPr>
  </w:style>
  <w:style w:type="character" w:customStyle="1" w:styleId="shorttext">
    <w:name w:val="short_text"/>
    <w:basedOn w:val="DefaultParagraphFont"/>
    <w:rsid w:val="00B96F2A"/>
  </w:style>
  <w:style w:type="character" w:customStyle="1" w:styleId="hps">
    <w:name w:val="hps"/>
    <w:basedOn w:val="DefaultParagraphFont"/>
    <w:rsid w:val="00B96F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3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89D"/>
  </w:style>
  <w:style w:type="paragraph" w:styleId="Footer">
    <w:name w:val="footer"/>
    <w:basedOn w:val="Normal"/>
    <w:link w:val="FooterChar"/>
    <w:uiPriority w:val="99"/>
    <w:unhideWhenUsed/>
    <w:rsid w:val="000F3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89D"/>
  </w:style>
  <w:style w:type="paragraph" w:styleId="ListParagraph">
    <w:name w:val="List Paragraph"/>
    <w:basedOn w:val="Normal"/>
    <w:uiPriority w:val="34"/>
    <w:qFormat/>
    <w:rsid w:val="00A52678"/>
    <w:pPr>
      <w:ind w:left="720"/>
      <w:contextualSpacing/>
    </w:pPr>
  </w:style>
  <w:style w:type="character" w:customStyle="1" w:styleId="shorttext">
    <w:name w:val="short_text"/>
    <w:basedOn w:val="DefaultParagraphFont"/>
    <w:rsid w:val="00B96F2A"/>
  </w:style>
  <w:style w:type="character" w:customStyle="1" w:styleId="hps">
    <w:name w:val="hps"/>
    <w:basedOn w:val="DefaultParagraphFont"/>
    <w:rsid w:val="00B96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9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9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23782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41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14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8603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059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7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7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5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1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3597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39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9514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018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5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1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14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48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73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76675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49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05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18462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730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0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7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10570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4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95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67934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579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9277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14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30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66740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690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69694-E887-4469-9EB2-37D3AC767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Ziad Hariri</dc:creator>
  <cp:lastModifiedBy>Vanessa Maalouf</cp:lastModifiedBy>
  <cp:revision>4</cp:revision>
  <cp:lastPrinted>2014-02-28T11:24:00Z</cp:lastPrinted>
  <dcterms:created xsi:type="dcterms:W3CDTF">2014-08-25T10:34:00Z</dcterms:created>
  <dcterms:modified xsi:type="dcterms:W3CDTF">2014-09-02T12:59:00Z</dcterms:modified>
</cp:coreProperties>
</file>